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7B8AC74C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r w:rsidR="006C4EAE">
              <w:t>Halkla İlişkiler ve İletişim Alanlarında Danışmanlık Alım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397A2058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r w:rsidR="006C4EAE">
              <w:t>HUB İletişim Ve Danışmanlık Hizmetleri Ltd. Şti.</w:t>
            </w:r>
          </w:p>
          <w:p w14:paraId="5214109C" w14:textId="69F2C2E4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6C4EAE">
              <w:t xml:space="preserve">1.299.420,00 </w:t>
            </w:r>
            <w:r w:rsidR="00602014">
              <w:t>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073DF6"/>
    <w:rsid w:val="00283B8E"/>
    <w:rsid w:val="00341B5A"/>
    <w:rsid w:val="00602014"/>
    <w:rsid w:val="00652BE1"/>
    <w:rsid w:val="006C4EAE"/>
    <w:rsid w:val="006E2CC6"/>
    <w:rsid w:val="007C1440"/>
    <w:rsid w:val="008E74F0"/>
    <w:rsid w:val="008F5AD7"/>
    <w:rsid w:val="00C121F8"/>
    <w:rsid w:val="00C1468F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2026-02-02T09:42:00Z</dcterms:created>
  <dcterms:modified xsi:type="dcterms:W3CDTF">2026-02-02T09:42:00Z</dcterms:modified>
</cp:coreProperties>
</file>